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31" w:rsidRPr="00483C31" w:rsidRDefault="00483C31" w:rsidP="00483C31">
      <w:pPr>
        <w:jc w:val="both"/>
        <w:rPr>
          <w:rFonts w:ascii="Times New Roman" w:hAnsi="Times New Roman" w:cs="Times New Roman"/>
          <w:sz w:val="24"/>
          <w:szCs w:val="24"/>
        </w:rPr>
      </w:pPr>
      <w:r w:rsidRPr="00483C31">
        <w:rPr>
          <w:rFonts w:ascii="Times New Roman" w:hAnsi="Times New Roman" w:cs="Times New Roman"/>
          <w:sz w:val="24"/>
          <w:szCs w:val="24"/>
        </w:rPr>
        <w:t xml:space="preserve">Стартовала ежегодная рассылка налоговых уведомлений для уплаты физическими лицами транспортного и земельного налогов, а также налога на имущество. Всего будет направлено 67,1 </w:t>
      </w:r>
      <w:proofErr w:type="gramStart"/>
      <w:r w:rsidRPr="00483C3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483C31">
        <w:rPr>
          <w:rFonts w:ascii="Times New Roman" w:hAnsi="Times New Roman" w:cs="Times New Roman"/>
          <w:sz w:val="24"/>
          <w:szCs w:val="24"/>
        </w:rPr>
        <w:t xml:space="preserve"> таких уведомлений. Из них 44,6 </w:t>
      </w:r>
      <w:proofErr w:type="gramStart"/>
      <w:r w:rsidRPr="00483C3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483C31">
        <w:rPr>
          <w:rFonts w:ascii="Times New Roman" w:hAnsi="Times New Roman" w:cs="Times New Roman"/>
          <w:sz w:val="24"/>
          <w:szCs w:val="24"/>
        </w:rPr>
        <w:t xml:space="preserve"> - на бумаге по почте заказными письмами, 22,5 млн - в электронном виде через личные кабинеты налогоплательщиков.</w:t>
      </w:r>
    </w:p>
    <w:p w:rsidR="00483C31" w:rsidRPr="00483C31" w:rsidRDefault="00483C31" w:rsidP="00483C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3C31" w:rsidRPr="00483C31" w:rsidRDefault="00483C31" w:rsidP="00483C31">
      <w:pPr>
        <w:jc w:val="both"/>
        <w:rPr>
          <w:rFonts w:ascii="Times New Roman" w:hAnsi="Times New Roman" w:cs="Times New Roman"/>
          <w:sz w:val="24"/>
          <w:szCs w:val="24"/>
        </w:rPr>
      </w:pPr>
      <w:r w:rsidRPr="00483C31">
        <w:rPr>
          <w:rFonts w:ascii="Times New Roman" w:hAnsi="Times New Roman" w:cs="Times New Roman"/>
          <w:sz w:val="24"/>
          <w:szCs w:val="24"/>
        </w:rPr>
        <w:t xml:space="preserve">Налоговые уведомления адресованы владельцам налогооблагаемого имущества: транспортных средств, земельных участков, объектов капитального строительства за период владения в течение 2020 года. Общий объем начислений в уведомлениях составил 299,2 </w:t>
      </w:r>
      <w:proofErr w:type="gramStart"/>
      <w:r w:rsidRPr="00483C31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483C31">
        <w:rPr>
          <w:rFonts w:ascii="Times New Roman" w:hAnsi="Times New Roman" w:cs="Times New Roman"/>
          <w:sz w:val="24"/>
          <w:szCs w:val="24"/>
        </w:rPr>
        <w:t xml:space="preserve"> руб. с приростом в 2% по сравнению с прошлым годом. По сравнению с предыдущим налоговым периодом в расчете налогов произошли следующие основные изменения:</w:t>
      </w:r>
    </w:p>
    <w:p w:rsidR="00483C31" w:rsidRPr="00483C31" w:rsidRDefault="00483C31" w:rsidP="00483C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C31" w:rsidRPr="00483C31" w:rsidRDefault="00483C31" w:rsidP="00483C31">
      <w:pPr>
        <w:jc w:val="both"/>
        <w:rPr>
          <w:rFonts w:ascii="Times New Roman" w:hAnsi="Times New Roman" w:cs="Times New Roman"/>
          <w:sz w:val="24"/>
          <w:szCs w:val="24"/>
        </w:rPr>
      </w:pPr>
      <w:r w:rsidRPr="00483C31">
        <w:rPr>
          <w:rFonts w:ascii="Times New Roman" w:hAnsi="Times New Roman" w:cs="Times New Roman"/>
          <w:sz w:val="24"/>
          <w:szCs w:val="24"/>
        </w:rPr>
        <w:t xml:space="preserve">Для расчета транспортного налога с применением повышающих коэффициентов использован Перечень легковых автомобилей средней стоимостью от 3 </w:t>
      </w:r>
      <w:proofErr w:type="gramStart"/>
      <w:r w:rsidRPr="00483C3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483C31">
        <w:rPr>
          <w:rFonts w:ascii="Times New Roman" w:hAnsi="Times New Roman" w:cs="Times New Roman"/>
          <w:sz w:val="24"/>
          <w:szCs w:val="24"/>
        </w:rPr>
        <w:t xml:space="preserve"> руб. за 2020 год, размещенный на сайте </w:t>
      </w:r>
      <w:proofErr w:type="spellStart"/>
      <w:r w:rsidRPr="00483C31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483C31">
        <w:rPr>
          <w:rFonts w:ascii="Times New Roman" w:hAnsi="Times New Roman" w:cs="Times New Roman"/>
          <w:sz w:val="24"/>
          <w:szCs w:val="24"/>
        </w:rPr>
        <w:t xml:space="preserve"> России. В него дополнительно были включены такие марки и модели, как </w:t>
      </w:r>
      <w:proofErr w:type="spellStart"/>
      <w:r w:rsidRPr="00483C31">
        <w:rPr>
          <w:rFonts w:ascii="Times New Roman" w:hAnsi="Times New Roman" w:cs="Times New Roman"/>
          <w:sz w:val="24"/>
          <w:szCs w:val="24"/>
        </w:rPr>
        <w:t>Mazda</w:t>
      </w:r>
      <w:proofErr w:type="spellEnd"/>
      <w:r w:rsidRPr="00483C31">
        <w:rPr>
          <w:rFonts w:ascii="Times New Roman" w:hAnsi="Times New Roman" w:cs="Times New Roman"/>
          <w:sz w:val="24"/>
          <w:szCs w:val="24"/>
        </w:rPr>
        <w:t xml:space="preserve"> CX-9, </w:t>
      </w:r>
      <w:proofErr w:type="spellStart"/>
      <w:r w:rsidRPr="00483C31">
        <w:rPr>
          <w:rFonts w:ascii="Times New Roman" w:hAnsi="Times New Roman" w:cs="Times New Roman"/>
          <w:sz w:val="24"/>
          <w:szCs w:val="24"/>
        </w:rPr>
        <w:t>Honda</w:t>
      </w:r>
      <w:proofErr w:type="spellEnd"/>
      <w:r w:rsidRPr="00483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31">
        <w:rPr>
          <w:rFonts w:ascii="Times New Roman" w:hAnsi="Times New Roman" w:cs="Times New Roman"/>
          <w:sz w:val="24"/>
          <w:szCs w:val="24"/>
        </w:rPr>
        <w:t>Pilot</w:t>
      </w:r>
      <w:proofErr w:type="spellEnd"/>
      <w:r w:rsidRPr="00483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31">
        <w:rPr>
          <w:rFonts w:ascii="Times New Roman" w:hAnsi="Times New Roman" w:cs="Times New Roman"/>
          <w:sz w:val="24"/>
          <w:szCs w:val="24"/>
        </w:rPr>
        <w:t>Chrysler</w:t>
      </w:r>
      <w:proofErr w:type="spellEnd"/>
      <w:r w:rsidRPr="00483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31">
        <w:rPr>
          <w:rFonts w:ascii="Times New Roman" w:hAnsi="Times New Roman" w:cs="Times New Roman"/>
          <w:sz w:val="24"/>
          <w:szCs w:val="24"/>
        </w:rPr>
        <w:t>Pacifica</w:t>
      </w:r>
      <w:proofErr w:type="spellEnd"/>
      <w:r w:rsidRPr="00483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31">
        <w:rPr>
          <w:rFonts w:ascii="Times New Roman" w:hAnsi="Times New Roman" w:cs="Times New Roman"/>
          <w:sz w:val="24"/>
          <w:szCs w:val="24"/>
        </w:rPr>
        <w:t>Jeep</w:t>
      </w:r>
      <w:proofErr w:type="spellEnd"/>
      <w:r w:rsidRPr="00483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31">
        <w:rPr>
          <w:rFonts w:ascii="Times New Roman" w:hAnsi="Times New Roman" w:cs="Times New Roman"/>
          <w:sz w:val="24"/>
          <w:szCs w:val="24"/>
        </w:rPr>
        <w:t>Wrangler</w:t>
      </w:r>
      <w:proofErr w:type="spellEnd"/>
      <w:r w:rsidRPr="00483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31">
        <w:rPr>
          <w:rFonts w:ascii="Times New Roman" w:hAnsi="Times New Roman" w:cs="Times New Roman"/>
          <w:sz w:val="24"/>
          <w:szCs w:val="24"/>
        </w:rPr>
        <w:t>Jeep</w:t>
      </w:r>
      <w:proofErr w:type="spellEnd"/>
      <w:r w:rsidRPr="00483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31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483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31">
        <w:rPr>
          <w:rFonts w:ascii="Times New Roman" w:hAnsi="Times New Roman" w:cs="Times New Roman"/>
          <w:sz w:val="24"/>
          <w:szCs w:val="24"/>
        </w:rPr>
        <w:t>Cherokee</w:t>
      </w:r>
      <w:proofErr w:type="spellEnd"/>
      <w:r w:rsidRPr="00483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31">
        <w:rPr>
          <w:rFonts w:ascii="Times New Roman" w:hAnsi="Times New Roman" w:cs="Times New Roman"/>
          <w:sz w:val="24"/>
          <w:szCs w:val="24"/>
        </w:rPr>
        <w:t>Subaru</w:t>
      </w:r>
      <w:proofErr w:type="spellEnd"/>
      <w:r w:rsidRPr="00483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31">
        <w:rPr>
          <w:rFonts w:ascii="Times New Roman" w:hAnsi="Times New Roman" w:cs="Times New Roman"/>
          <w:sz w:val="24"/>
          <w:szCs w:val="24"/>
        </w:rPr>
        <w:t>Outback</w:t>
      </w:r>
      <w:proofErr w:type="spellEnd"/>
      <w:r w:rsidRPr="00483C31">
        <w:rPr>
          <w:rFonts w:ascii="Times New Roman" w:hAnsi="Times New Roman" w:cs="Times New Roman"/>
          <w:sz w:val="24"/>
          <w:szCs w:val="24"/>
        </w:rPr>
        <w:t xml:space="preserve"> 2.5i-S ES </w:t>
      </w:r>
      <w:proofErr w:type="spellStart"/>
      <w:r w:rsidRPr="00483C31"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 w:rsidRPr="00483C31">
        <w:rPr>
          <w:rFonts w:ascii="Times New Roman" w:hAnsi="Times New Roman" w:cs="Times New Roman"/>
          <w:sz w:val="24"/>
          <w:szCs w:val="24"/>
        </w:rPr>
        <w:t xml:space="preserve"> ES и WRX STI </w:t>
      </w:r>
      <w:proofErr w:type="spellStart"/>
      <w:r w:rsidRPr="00483C31"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 w:rsidRPr="00483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31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483C31">
        <w:rPr>
          <w:rFonts w:ascii="Times New Roman" w:hAnsi="Times New Roman" w:cs="Times New Roman"/>
          <w:sz w:val="24"/>
          <w:szCs w:val="24"/>
        </w:rPr>
        <w:t>.</w:t>
      </w:r>
    </w:p>
    <w:p w:rsidR="00483C31" w:rsidRPr="00483C31" w:rsidRDefault="00483C31" w:rsidP="00483C31">
      <w:pPr>
        <w:jc w:val="both"/>
        <w:rPr>
          <w:rFonts w:ascii="Times New Roman" w:hAnsi="Times New Roman" w:cs="Times New Roman"/>
          <w:sz w:val="24"/>
          <w:szCs w:val="24"/>
        </w:rPr>
      </w:pPr>
      <w:r w:rsidRPr="00483C31">
        <w:rPr>
          <w:rFonts w:ascii="Times New Roman" w:hAnsi="Times New Roman" w:cs="Times New Roman"/>
          <w:sz w:val="24"/>
          <w:szCs w:val="24"/>
        </w:rPr>
        <w:t xml:space="preserve">По земельному налогу в ряде регионов применены новые результаты государственной кадастровой оценки земель, вступившие в силу с 2020 года. С ними можно ознакомиться, получив выписку из Единого государственного реестра недвижимости в МФЦ или на сайте </w:t>
      </w:r>
      <w:proofErr w:type="spellStart"/>
      <w:r w:rsidRPr="00483C3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83C31">
        <w:rPr>
          <w:rFonts w:ascii="Times New Roman" w:hAnsi="Times New Roman" w:cs="Times New Roman"/>
          <w:sz w:val="24"/>
          <w:szCs w:val="24"/>
        </w:rPr>
        <w:t>.</w:t>
      </w:r>
    </w:p>
    <w:p w:rsidR="00483C31" w:rsidRPr="00483C31" w:rsidRDefault="00483C31" w:rsidP="00483C31">
      <w:pPr>
        <w:jc w:val="both"/>
        <w:rPr>
          <w:rFonts w:ascii="Times New Roman" w:hAnsi="Times New Roman" w:cs="Times New Roman"/>
          <w:sz w:val="24"/>
          <w:szCs w:val="24"/>
        </w:rPr>
      </w:pPr>
      <w:r w:rsidRPr="00483C31">
        <w:rPr>
          <w:rFonts w:ascii="Times New Roman" w:hAnsi="Times New Roman" w:cs="Times New Roman"/>
          <w:sz w:val="24"/>
          <w:szCs w:val="24"/>
        </w:rPr>
        <w:t>По налогу на имущество физических лиц во всех регионах (кроме г. Севастополя) в качестве налоговой базы применена кадастровая стоимость объектов недвижимости. При этом для исчисления налога использованы понижающие коэффициенты:</w:t>
      </w:r>
    </w:p>
    <w:p w:rsidR="00483C31" w:rsidRPr="00483C31" w:rsidRDefault="00483C31" w:rsidP="00483C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C31">
        <w:rPr>
          <w:rFonts w:ascii="Times New Roman" w:hAnsi="Times New Roman" w:cs="Times New Roman"/>
          <w:sz w:val="24"/>
          <w:szCs w:val="24"/>
        </w:rPr>
        <w:t>0,2 – для 10 регионов (Республика Алтай, Крым, Алтайский и Приморский края, Волгоградская, Иркутская, Курганская, Свердловская, Томская области, Чукотский автономный округ), где с 2020 года кадастровая стоимость применяется в качестве налоговой базы первый год;</w:t>
      </w:r>
      <w:proofErr w:type="gramEnd"/>
    </w:p>
    <w:p w:rsidR="00483C31" w:rsidRPr="00483C31" w:rsidRDefault="00483C31" w:rsidP="00483C31">
      <w:pPr>
        <w:jc w:val="both"/>
        <w:rPr>
          <w:rFonts w:ascii="Times New Roman" w:hAnsi="Times New Roman" w:cs="Times New Roman"/>
          <w:sz w:val="24"/>
          <w:szCs w:val="24"/>
        </w:rPr>
      </w:pPr>
      <w:r w:rsidRPr="00483C31">
        <w:rPr>
          <w:rFonts w:ascii="Times New Roman" w:hAnsi="Times New Roman" w:cs="Times New Roman"/>
          <w:sz w:val="24"/>
          <w:szCs w:val="24"/>
        </w:rPr>
        <w:t>0,4 – для четырех регионов (Республики Дагестан и Северная Осетия - Алания, Красноярский край, Смоленская область), где кадастровая стоимость применяется в качестве налоговой базы второй год;</w:t>
      </w:r>
    </w:p>
    <w:p w:rsidR="00483C31" w:rsidRPr="00483C31" w:rsidRDefault="00483C31" w:rsidP="00483C31">
      <w:pPr>
        <w:jc w:val="both"/>
        <w:rPr>
          <w:rFonts w:ascii="Times New Roman" w:hAnsi="Times New Roman" w:cs="Times New Roman"/>
          <w:sz w:val="24"/>
          <w:szCs w:val="24"/>
        </w:rPr>
      </w:pPr>
      <w:r w:rsidRPr="00483C31">
        <w:rPr>
          <w:rFonts w:ascii="Times New Roman" w:hAnsi="Times New Roman" w:cs="Times New Roman"/>
          <w:sz w:val="24"/>
          <w:szCs w:val="24"/>
        </w:rPr>
        <w:t>0,6 – для семи регионов (Пермский край, Калужская, Липецкая, Ростовская, Саратовская, Тюменская, Ульяновская области), где кадастровая стоимость применяется в качестве налоговой базы третий год;</w:t>
      </w:r>
    </w:p>
    <w:p w:rsidR="00483C31" w:rsidRPr="00483C31" w:rsidRDefault="00483C31" w:rsidP="00483C31">
      <w:pPr>
        <w:jc w:val="both"/>
        <w:rPr>
          <w:rFonts w:ascii="Times New Roman" w:hAnsi="Times New Roman" w:cs="Times New Roman"/>
          <w:sz w:val="24"/>
          <w:szCs w:val="24"/>
        </w:rPr>
      </w:pPr>
      <w:r w:rsidRPr="00483C31">
        <w:rPr>
          <w:rFonts w:ascii="Times New Roman" w:hAnsi="Times New Roman" w:cs="Times New Roman"/>
          <w:sz w:val="24"/>
          <w:szCs w:val="24"/>
        </w:rPr>
        <w:t xml:space="preserve">десятипроцентного ограничения роста налога по сравнению с предшествующим налоговым периодом – для 70 регионов, где кадастровая стоимость применяется в качестве налоговой базы третий и последующие годы. Исключение - объекты торгово-офисного назначения, включенные в перечень, определяемый в соответствии с п. 7 ст. 378.2 НК РФ, а также объекты, предусмотренные </w:t>
      </w:r>
      <w:proofErr w:type="spellStart"/>
      <w:r w:rsidRPr="00483C3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483C31">
        <w:rPr>
          <w:rFonts w:ascii="Times New Roman" w:hAnsi="Times New Roman" w:cs="Times New Roman"/>
          <w:sz w:val="24"/>
          <w:szCs w:val="24"/>
        </w:rPr>
        <w:t>. 2 п. 10 ст. 378.2 НК РФ;</w:t>
      </w:r>
    </w:p>
    <w:p w:rsidR="00483C31" w:rsidRPr="00483C31" w:rsidRDefault="00483C31" w:rsidP="00483C31">
      <w:pPr>
        <w:jc w:val="both"/>
        <w:rPr>
          <w:rFonts w:ascii="Times New Roman" w:hAnsi="Times New Roman" w:cs="Times New Roman"/>
          <w:sz w:val="24"/>
          <w:szCs w:val="24"/>
        </w:rPr>
      </w:pPr>
      <w:r w:rsidRPr="00483C31">
        <w:rPr>
          <w:rFonts w:ascii="Times New Roman" w:hAnsi="Times New Roman" w:cs="Times New Roman"/>
          <w:sz w:val="24"/>
          <w:szCs w:val="24"/>
        </w:rPr>
        <w:lastRenderedPageBreak/>
        <w:t xml:space="preserve">0,6 - для объекта налогообложения, образованного начиная с четвертого налогового периода, в котором налоговая база определяется в соответствующем муниципальном образовании (городе федерального значения) исходя из кадастровой стоимости, применительно к первому периоду, за который исчисляется налог в отношении этого объекта. Исключение - объекты торгово-офисного назначения, включенные в перечень, определяемый в соответствии с п. 7 ст. 378.2 НК РФ, а также объекты, предусмотренные </w:t>
      </w:r>
      <w:proofErr w:type="spellStart"/>
      <w:r w:rsidRPr="00483C3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483C31">
        <w:rPr>
          <w:rFonts w:ascii="Times New Roman" w:hAnsi="Times New Roman" w:cs="Times New Roman"/>
          <w:sz w:val="24"/>
          <w:szCs w:val="24"/>
        </w:rPr>
        <w:t>. 2 п. 10 ст. 378.2 НК РФ.</w:t>
      </w:r>
    </w:p>
    <w:p w:rsidR="00483C31" w:rsidRPr="00483C31" w:rsidRDefault="00483C31" w:rsidP="00483C31">
      <w:pPr>
        <w:jc w:val="both"/>
        <w:rPr>
          <w:rFonts w:ascii="Times New Roman" w:hAnsi="Times New Roman" w:cs="Times New Roman"/>
          <w:sz w:val="24"/>
          <w:szCs w:val="24"/>
        </w:rPr>
      </w:pPr>
      <w:r w:rsidRPr="00483C31">
        <w:rPr>
          <w:rFonts w:ascii="Times New Roman" w:hAnsi="Times New Roman" w:cs="Times New Roman"/>
          <w:sz w:val="24"/>
          <w:szCs w:val="24"/>
        </w:rPr>
        <w:t>Кроме того, применены изменения в налоговых ставках и льготах: в соответствии с законами субъектов РФ для транспортного налога, а также нормативными правовыми актами муниципальных образований (законами городов федерального значения) для земельного налога и налога на имущество. С указанной информацией можно ознакомиться в рубрике «Справочная информация о ставках и льготах по имущественным налогам».</w:t>
      </w:r>
    </w:p>
    <w:p w:rsidR="00483C31" w:rsidRPr="00483C31" w:rsidRDefault="00483C31" w:rsidP="00483C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C31" w:rsidRPr="00483C31" w:rsidRDefault="00483C31" w:rsidP="00483C31">
      <w:pPr>
        <w:jc w:val="both"/>
        <w:rPr>
          <w:rFonts w:ascii="Times New Roman" w:hAnsi="Times New Roman" w:cs="Times New Roman"/>
          <w:sz w:val="24"/>
          <w:szCs w:val="24"/>
        </w:rPr>
      </w:pPr>
      <w:r w:rsidRPr="00483C31">
        <w:rPr>
          <w:rFonts w:ascii="Times New Roman" w:hAnsi="Times New Roman" w:cs="Times New Roman"/>
          <w:sz w:val="24"/>
          <w:szCs w:val="24"/>
        </w:rPr>
        <w:t xml:space="preserve">Поскольку расчет налогов проводится исходя из налоговых ставок, льгот, налоговой базы, повышающих и понижающих коэффициентов и иных характеристик, определяемых для конкретных объектов налогообложения, причины изменения величины налогов в конкретной ситуации можно уточнить в налоговой инспекции или в </w:t>
      </w:r>
      <w:proofErr w:type="gramStart"/>
      <w:r w:rsidRPr="00483C31">
        <w:rPr>
          <w:rFonts w:ascii="Times New Roman" w:hAnsi="Times New Roman" w:cs="Times New Roman"/>
          <w:sz w:val="24"/>
          <w:szCs w:val="24"/>
        </w:rPr>
        <w:t>контакт-центре</w:t>
      </w:r>
      <w:proofErr w:type="gramEnd"/>
      <w:r w:rsidRPr="00483C31">
        <w:rPr>
          <w:rFonts w:ascii="Times New Roman" w:hAnsi="Times New Roman" w:cs="Times New Roman"/>
          <w:sz w:val="24"/>
          <w:szCs w:val="24"/>
        </w:rPr>
        <w:t xml:space="preserve"> ФНС России (тел. 8 800 – 222-22-22).</w:t>
      </w:r>
    </w:p>
    <w:p w:rsidR="00483C31" w:rsidRPr="00483C31" w:rsidRDefault="00483C31" w:rsidP="00483C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020" w:rsidRPr="00483C31" w:rsidRDefault="00483C31" w:rsidP="00483C31">
      <w:pPr>
        <w:jc w:val="both"/>
        <w:rPr>
          <w:rFonts w:ascii="Times New Roman" w:hAnsi="Times New Roman" w:cs="Times New Roman"/>
          <w:sz w:val="24"/>
          <w:szCs w:val="24"/>
        </w:rPr>
      </w:pPr>
      <w:r w:rsidRPr="00483C31">
        <w:rPr>
          <w:rFonts w:ascii="Times New Roman" w:hAnsi="Times New Roman" w:cs="Times New Roman"/>
          <w:sz w:val="24"/>
          <w:szCs w:val="24"/>
        </w:rPr>
        <w:t>Напоминаем, что рассылка налоговых уведомлений и их доставка налогоплательщикам через почтовые отделения пройдет в течение сентября - октября текущего года. Вышеуказанные налоги следует оплатить не позднее 1 декабря 2021 года.</w:t>
      </w:r>
    </w:p>
    <w:sectPr w:rsidR="00C40020" w:rsidRPr="0048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5B"/>
    <w:rsid w:val="00483C31"/>
    <w:rsid w:val="00A5575B"/>
    <w:rsid w:val="00C4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3540</Characters>
  <Application>Microsoft Office Word</Application>
  <DocSecurity>0</DocSecurity>
  <Lines>29</Lines>
  <Paragraphs>8</Paragraphs>
  <ScaleCrop>false</ScaleCrop>
  <Company>Home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3</cp:revision>
  <dcterms:created xsi:type="dcterms:W3CDTF">2021-10-04T03:53:00Z</dcterms:created>
  <dcterms:modified xsi:type="dcterms:W3CDTF">2021-10-04T03:54:00Z</dcterms:modified>
</cp:coreProperties>
</file>