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</w:rPr>
      </w:pPr>
      <w:r>
        <w:rPr>
          <w:b/>
          <w:color w:val="0000FF"/>
        </w:rPr>
        <w:t>Отделение Пенсионного фонда РФ по Томской области</w:t>
        <w:tab/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b/>
          <w:color w:val="0000FF"/>
        </w:rPr>
        <w:t>Пресс-релиз от 04 июля 2022 года</w:t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b/>
          <w:color w:val="0000FF"/>
        </w:rPr>
        <w:t>Пенсионный фонд досрочно перечислил социальные пособия за июнь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Отделение Пенсионного фонда по Томской области досрочно перечислило социальные пособия, которые обычно поступают томичам в единый день выплаты – 3-го числа каждого месяца. Учитывая, что в июле эта дата выпала на выходной (воскресенье), средства были выплачены раньше. 1 июля пособия получили все, кто в качестве способа выплаты определил счет в банке. Доставка через почтовые отделения будет осуществляться по стандартному графику с 5 по 25 июля.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Отдельные пособия за июнь поступили получателям в повышенном размере. Это связано с проведенной в прошлом месяце индексацией прожиточного минимума, исходя из которого определяется размер некоторых выплат. Прежде всего индексация коснулась ежемесячных пособий малообеспеченным семьям с детьми от 8 до 17 лет. В зависимости от установленной суммы пособия: 50%, 75% или 100% прожиточного минимума ребенка в регионе – материальная поддержка семей выросла до 7,282 – 16,017 тыс. рублей в месяц (в зависимости от района проживания). Увеличенные выплаты также получили беременные женщины, которым назначено ежемесячное пособие.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Напомним, что согласно стандартному графику выплата социальных пособий за предыдущий месяц осуществляется в новом месяце. Например, в июле за июнь, в августе - за июль и т. д. Средства перечисляются через банк или через организацию почтовой связи. Для переводов на банковские карты установлен единый выплатной день – 3-е число текущего месяца. Если этот день приходится на праздничный или выходной, выплаты сдвигаются на более ранний срок.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b/>
          <w:color w:val="0000FF"/>
        </w:rPr>
      </w:r>
      <w:r/>
    </w:p>
    <w:p>
      <w:pPr>
        <w:pStyle w:val="Normal"/>
        <w:ind w:firstLine="708"/>
        <w:jc w:val="both"/>
        <w:rPr>
          <w:sz w:val="24"/>
          <w:b/>
          <w:sz w:val="24"/>
          <w:b/>
          <w:szCs w:val="24"/>
          <w:color w:val="0000FF"/>
          <w:lang w:eastAsia="ar-SA"/>
        </w:rPr>
      </w:pPr>
      <w:r>
        <w:rPr>
          <w:b/>
          <w:color w:val="0000FF"/>
        </w:rPr>
      </w:r>
      <w:r/>
    </w:p>
    <w:p>
      <w:pPr>
        <w:pStyle w:val="Normal"/>
        <w:jc w:val="both"/>
        <w:rPr>
          <w:sz w:val="24"/>
          <w:sz w:val="24"/>
          <w:szCs w:val="24"/>
          <w:lang w:eastAsia="ar-SA"/>
        </w:rPr>
      </w:pPr>
      <w:bookmarkStart w:id="0" w:name="_GoBack"/>
      <w:bookmarkStart w:id="1" w:name="_GoBack"/>
      <w:bookmarkEnd w:id="1"/>
      <w:r>
        <w:rPr/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p>
      <w:pPr>
        <w:pStyle w:val="Normal"/>
        <w:ind w:firstLine="708"/>
        <w:jc w:val="both"/>
        <w:rPr>
          <w:sz w:val="24"/>
          <w:b/>
          <w:sz w:val="24"/>
          <w:b/>
          <w:szCs w:val="24"/>
          <w:color w:val="0000FF"/>
          <w:lang w:eastAsia="ar-SA"/>
        </w:rPr>
      </w:pPr>
      <w:r>
        <w:rPr>
          <w:b/>
          <w:color w:val="0000FF"/>
        </w:rPr>
      </w:r>
      <w:r/>
    </w:p>
    <w:p>
      <w:pPr>
        <w:pStyle w:val="Normal"/>
        <w:ind w:firstLine="708"/>
        <w:jc w:val="both"/>
        <w:rPr>
          <w:sz w:val="24"/>
          <w:b/>
          <w:sz w:val="24"/>
          <w:b/>
          <w:szCs w:val="24"/>
          <w:color w:val="0000FF"/>
          <w:lang w:eastAsia="ar-SA"/>
        </w:rPr>
      </w:pPr>
      <w:r>
        <w:rPr>
          <w:b/>
          <w:color w:val="0000FF"/>
        </w:rPr>
      </w:r>
      <w:r/>
    </w:p>
    <w:p>
      <w:pPr>
        <w:pStyle w:val="Normal"/>
        <w:suppressAutoHyphens w:val="false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  <w:r/>
    </w:p>
    <w:p>
      <w:pPr>
        <w:pStyle w:val="Normal"/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 @080.pfr.ru</w:t>
      </w:r>
      <w:r/>
    </w:p>
    <w:p>
      <w:pPr>
        <w:pStyle w:val="Normal"/>
        <w:jc w:val="right"/>
        <w:rPr>
          <w:sz w:val="24"/>
          <w:sz w:val="24"/>
          <w:szCs w:val="24"/>
          <w:color w:val="000000"/>
          <w:lang w:val="en-US" w:eastAsia="ru-RU"/>
        </w:rPr>
      </w:pPr>
      <w:r>
        <w:rPr>
          <w:color w:val="000000"/>
          <w:lang w:val="en-US" w:eastAsia="ru-RU"/>
        </w:rPr>
      </w:r>
      <w:r/>
    </w:p>
    <w:p>
      <w:pPr>
        <w:pStyle w:val="Normal"/>
        <w:rPr>
          <w:sz w:val="24"/>
          <w:sz w:val="24"/>
          <w:szCs w:val="24"/>
          <w:color w:val="000000"/>
          <w:lang w:val="en-US" w:eastAsia="ru-RU"/>
        </w:rPr>
      </w:pPr>
      <w:r>
        <w:rPr>
          <w:color w:val="000000"/>
          <w:lang w:val="en-US" w:eastAsia="ru-RU"/>
        </w:rPr>
      </w:r>
      <w:r/>
    </w:p>
    <w:p>
      <w:pPr>
        <w:pStyle w:val="Normal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ab/>
        <w:tab/>
        <w:tab/>
        <w:tab/>
        <w:tab/>
        <w:tab/>
        <w:tab/>
        <w:tab/>
        <w:tab/>
        <w:tab/>
        <w:tab/>
        <w:tab/>
      </w:r>
      <w:r/>
    </w:p>
    <w:p>
      <w:pPr>
        <w:pStyle w:val="Normal"/>
        <w:suppressAutoHyphens w:val="false"/>
        <w:spacing w:beforeAutospacing="1" w:afterAutospacing="1"/>
        <w:rPr>
          <w:sz w:val="28"/>
          <w:sz w:val="28"/>
          <w:szCs w:val="28"/>
          <w:color w:val="FF0000"/>
          <w:lang w:val="en-US" w:eastAsia="ru-RU"/>
        </w:rPr>
      </w:pPr>
      <w:r>
        <w:rPr>
          <w:color w:val="FF0000"/>
          <w:sz w:val="28"/>
          <w:szCs w:val="28"/>
          <w:lang w:val="en-US" w:eastAsia="ru-RU"/>
        </w:rPr>
      </w:r>
      <w:r/>
    </w:p>
    <w:p>
      <w:pPr>
        <w:pStyle w:val="Normal"/>
        <w:suppressAutoHyphens w:val="false"/>
        <w:spacing w:beforeAutospacing="1" w:afterAutospacing="1"/>
        <w:ind w:left="708" w:hanging="0"/>
        <w:rPr>
          <w:sz w:val="24"/>
          <w:sz w:val="24"/>
          <w:szCs w:val="24"/>
          <w:lang w:eastAsia="ar-SA"/>
        </w:rPr>
      </w:pPr>
      <w:r>
        <w:rPr/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ru-RU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5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E307F-026A-478D-AB19-FDC4CF22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LibreOffice/4.3.6.2$Windows_x86 LibreOffice_project/d50a87b2e514536ed401c18000dad4660b6a169e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2022-07-04T02:39:00Z</dcterms:created>
  <dc:creator>ANM</dc:creator>
  <dc:language>ru-RU</dc:language>
  <cp:lastPrinted>2022-02-17T01:49:00Z</cp:lastPrinted>
  <dcterms:modified xsi:type="dcterms:W3CDTF">2022-07-05T13:46:00Z</dcterms:modified>
  <cp:revision>3</cp:revision>
  <dc:title>Отделение Пенсионного фонда РФ по Томской области</dc:title>
</cp:coreProperties>
</file>