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30 июня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Семьи Томской области распорядились материнским капиталом на 1,6 млрд.</w:t>
      </w:r>
      <w:bookmarkStart w:id="0" w:name="_GoBack"/>
      <w:bookmarkEnd w:id="0"/>
      <w:r>
        <w:rPr>
          <w:b/>
          <w:color w:val="0000FF"/>
        </w:rPr>
        <w:t xml:space="preserve"> рублей с начала года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ОПФР по Томской области с начала года направило свыше 1.6 млрд рублей по заявлениям семей о распоряжении материнским капиталом. Самым популярным направлением программы остается улучшение жилищных условий. Распорядились средствами на эти цели 2430 семей (57,8%), в связи с чем было выделено более 1,2 млрд рублей.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Также востребовано получение ежемесячной выплаты на второго ребенка в возрасте до 3 лет. В этом году порядка 1340 семей (31,8%) обратились за назначением выплаты. Всего родителям направлено 20 млн. рублей.</w:t>
        <w:br/>
        <w:t>Помимо ежемесячной выплаты, спросом пользуется и оплата обучения детей. С начала года 435 (10,3%) родителей приняли решение направить материнский капитал на эти цели. Таким образом, на образование детей ПФР были выделены средства в размере 23 миллиона рублей.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 прошлого года распоряжение материнским капиталом стало быстрее и удобнее. На рассмотрение заявления сегодня отводится не больше 10 рабочих дней. При этом совершенствование информационного обмена между Пенсионным фондом и другими государственными организациями позволяет принимать решение по заявлению и перечислять средства без личного посещения клиентских служб и предоставления документов. В настоящее время больше половины обращений за распоряжением материнским капиталом осуществляется без посещения территориальных органов ПФР.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color w:val="FF0000"/>
          <w:lang w:val="en-US" w:eastAsia="ru-RU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07E-3850-4557-8BA4-CFC0180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2022-06-10T06:32:00Z</dcterms:created>
  <dc:creator>ANM</dc:creator>
  <dc:language>ru-RU</dc:language>
  <cp:lastPrinted>2022-02-17T01:49:00Z</cp:lastPrinted>
  <dcterms:modified xsi:type="dcterms:W3CDTF">2022-07-05T13:48:22Z</dcterms:modified>
  <cp:revision>7</cp:revision>
  <dc:title>Отделение Пенсионного фонда РФ по Томской области</dc:title>
</cp:coreProperties>
</file>